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A1E" w:rsidRPr="002566F7" w:rsidRDefault="00884A1E" w:rsidP="00884A1E">
      <w:r w:rsidRPr="002566F7">
        <w:t>ZAŁĄCZNIK (PAKIET) NR 3</w:t>
      </w:r>
    </w:p>
    <w:p w:rsidR="00884A1E" w:rsidRPr="002566F7" w:rsidRDefault="00884A1E" w:rsidP="00884A1E"/>
    <w:p w:rsidR="00884A1E" w:rsidRPr="002566F7" w:rsidRDefault="00884A1E" w:rsidP="00884A1E">
      <w:pPr>
        <w:pStyle w:val="Nagwek2"/>
        <w:spacing w:before="0" w:after="0"/>
        <w:rPr>
          <w:rFonts w:ascii="Times New Roman" w:eastAsia="Arial Unicode MS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56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...................................</w:t>
      </w:r>
    </w:p>
    <w:p w:rsidR="00884A1E" w:rsidRPr="002566F7" w:rsidRDefault="00884A1E" w:rsidP="00A62ACC">
      <w:pPr>
        <w:pStyle w:val="Nagwek2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566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(pieczęć Wykonawcy)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79"/>
        <w:gridCol w:w="1321"/>
        <w:gridCol w:w="1818"/>
        <w:gridCol w:w="998"/>
        <w:gridCol w:w="2145"/>
        <w:gridCol w:w="2225"/>
        <w:gridCol w:w="2225"/>
      </w:tblGrid>
      <w:tr w:rsidR="004D16BC" w:rsidRPr="002566F7" w:rsidTr="00445B85">
        <w:trPr>
          <w:trHeight w:val="838"/>
          <w:jc w:val="center"/>
        </w:trPr>
        <w:tc>
          <w:tcPr>
            <w:tcW w:w="4779" w:type="dxa"/>
          </w:tcPr>
          <w:p w:rsidR="004D16BC" w:rsidRPr="002566F7" w:rsidRDefault="004D16BC" w:rsidP="00236CB7">
            <w:pPr>
              <w:jc w:val="center"/>
            </w:pPr>
          </w:p>
          <w:p w:rsidR="004D16BC" w:rsidRPr="002566F7" w:rsidRDefault="004D16BC" w:rsidP="00236CB7">
            <w:pPr>
              <w:jc w:val="center"/>
            </w:pPr>
            <w:r w:rsidRPr="002566F7">
              <w:t>ASORTYMENT</w:t>
            </w:r>
          </w:p>
        </w:tc>
        <w:tc>
          <w:tcPr>
            <w:tcW w:w="1321" w:type="dxa"/>
          </w:tcPr>
          <w:p w:rsidR="008E26E0" w:rsidRPr="002566F7" w:rsidRDefault="008E26E0" w:rsidP="00236CB7">
            <w:pPr>
              <w:jc w:val="center"/>
            </w:pPr>
          </w:p>
          <w:p w:rsidR="004D16BC" w:rsidRPr="002566F7" w:rsidRDefault="004D16BC" w:rsidP="00236CB7">
            <w:pPr>
              <w:jc w:val="center"/>
            </w:pPr>
            <w:r w:rsidRPr="002566F7">
              <w:t>ILOŚĆ</w:t>
            </w:r>
          </w:p>
          <w:p w:rsidR="004D16BC" w:rsidRPr="002566F7" w:rsidRDefault="004D16BC" w:rsidP="00236CB7">
            <w:pPr>
              <w:jc w:val="center"/>
            </w:pPr>
          </w:p>
        </w:tc>
        <w:tc>
          <w:tcPr>
            <w:tcW w:w="1818" w:type="dxa"/>
          </w:tcPr>
          <w:p w:rsidR="004D16BC" w:rsidRPr="002566F7" w:rsidRDefault="004D16BC" w:rsidP="00236CB7">
            <w:pPr>
              <w:jc w:val="center"/>
            </w:pPr>
            <w:r w:rsidRPr="002566F7">
              <w:t>CENA</w:t>
            </w:r>
          </w:p>
          <w:p w:rsidR="004D16BC" w:rsidRPr="002566F7" w:rsidRDefault="004D16BC" w:rsidP="00236CB7">
            <w:pPr>
              <w:jc w:val="center"/>
            </w:pPr>
            <w:r w:rsidRPr="002566F7">
              <w:t>NETTO</w:t>
            </w:r>
          </w:p>
          <w:p w:rsidR="004D16BC" w:rsidRPr="002566F7" w:rsidRDefault="004D16BC" w:rsidP="00236CB7">
            <w:pPr>
              <w:jc w:val="center"/>
            </w:pPr>
            <w:r w:rsidRPr="002566F7">
              <w:t>SZT.</w:t>
            </w:r>
          </w:p>
        </w:tc>
        <w:tc>
          <w:tcPr>
            <w:tcW w:w="998" w:type="dxa"/>
          </w:tcPr>
          <w:p w:rsidR="004D16BC" w:rsidRPr="002566F7" w:rsidRDefault="004D16BC" w:rsidP="00236CB7">
            <w:pPr>
              <w:jc w:val="center"/>
            </w:pPr>
            <w:r w:rsidRPr="002566F7">
              <w:t>VAT</w:t>
            </w:r>
          </w:p>
          <w:p w:rsidR="004D16BC" w:rsidRPr="002566F7" w:rsidRDefault="004D16BC" w:rsidP="00236CB7">
            <w:pPr>
              <w:jc w:val="center"/>
            </w:pPr>
            <w:r w:rsidRPr="002566F7">
              <w:t>w %</w:t>
            </w:r>
          </w:p>
        </w:tc>
        <w:tc>
          <w:tcPr>
            <w:tcW w:w="2145" w:type="dxa"/>
          </w:tcPr>
          <w:p w:rsidR="004D16BC" w:rsidRPr="002566F7" w:rsidRDefault="004D16BC" w:rsidP="00236CB7">
            <w:pPr>
              <w:jc w:val="center"/>
            </w:pPr>
            <w:r w:rsidRPr="002566F7">
              <w:t>WARTOŚĆ</w:t>
            </w:r>
          </w:p>
          <w:p w:rsidR="004D16BC" w:rsidRPr="002566F7" w:rsidRDefault="004D16BC" w:rsidP="00236CB7">
            <w:pPr>
              <w:jc w:val="center"/>
            </w:pPr>
            <w:r w:rsidRPr="002566F7">
              <w:t>NETTO</w:t>
            </w:r>
          </w:p>
          <w:p w:rsidR="004D16BC" w:rsidRPr="002566F7" w:rsidRDefault="004D16BC" w:rsidP="00236CB7">
            <w:pPr>
              <w:jc w:val="center"/>
            </w:pPr>
            <w:r w:rsidRPr="002566F7">
              <w:t>ZAMÓWIENIA</w:t>
            </w:r>
          </w:p>
        </w:tc>
        <w:tc>
          <w:tcPr>
            <w:tcW w:w="2225" w:type="dxa"/>
          </w:tcPr>
          <w:p w:rsidR="004D16BC" w:rsidRPr="002566F7" w:rsidRDefault="004D16BC" w:rsidP="00236CB7">
            <w:pPr>
              <w:jc w:val="center"/>
              <w:rPr>
                <w:b/>
              </w:rPr>
            </w:pPr>
            <w:r w:rsidRPr="002566F7">
              <w:rPr>
                <w:b/>
              </w:rPr>
              <w:t>WARTOŚĆ</w:t>
            </w:r>
          </w:p>
          <w:p w:rsidR="004D16BC" w:rsidRPr="002566F7" w:rsidRDefault="004D16BC" w:rsidP="00236CB7">
            <w:pPr>
              <w:jc w:val="center"/>
              <w:rPr>
                <w:b/>
              </w:rPr>
            </w:pPr>
            <w:r w:rsidRPr="002566F7">
              <w:rPr>
                <w:b/>
              </w:rPr>
              <w:t>BRUTTO</w:t>
            </w:r>
          </w:p>
          <w:p w:rsidR="004D16BC" w:rsidRPr="002566F7" w:rsidRDefault="004D16BC" w:rsidP="00236CB7">
            <w:pPr>
              <w:jc w:val="center"/>
            </w:pPr>
            <w:r w:rsidRPr="002566F7">
              <w:rPr>
                <w:b/>
              </w:rPr>
              <w:t>ZAMÓWIENIA</w:t>
            </w:r>
          </w:p>
        </w:tc>
        <w:tc>
          <w:tcPr>
            <w:tcW w:w="2225" w:type="dxa"/>
          </w:tcPr>
          <w:p w:rsidR="004D16BC" w:rsidRPr="002566F7" w:rsidRDefault="004D16BC" w:rsidP="00236CB7">
            <w:pPr>
              <w:jc w:val="center"/>
            </w:pPr>
          </w:p>
          <w:p w:rsidR="004D16BC" w:rsidRPr="002566F7" w:rsidRDefault="004D16BC" w:rsidP="004D16BC">
            <w:pPr>
              <w:jc w:val="center"/>
            </w:pPr>
            <w:r w:rsidRPr="002566F7">
              <w:t>PRODUCENT</w:t>
            </w:r>
          </w:p>
        </w:tc>
      </w:tr>
      <w:tr w:rsidR="004D16BC" w:rsidRPr="002566F7" w:rsidTr="00445B85">
        <w:trPr>
          <w:jc w:val="center"/>
        </w:trPr>
        <w:tc>
          <w:tcPr>
            <w:tcW w:w="4779" w:type="dxa"/>
          </w:tcPr>
          <w:p w:rsidR="004D16BC" w:rsidRPr="002566F7" w:rsidRDefault="004D16BC" w:rsidP="00884A1E">
            <w:pPr>
              <w:spacing w:before="240"/>
              <w:ind w:left="360"/>
              <w:jc w:val="both"/>
              <w:rPr>
                <w:b/>
                <w:sz w:val="22"/>
                <w:szCs w:val="22"/>
              </w:rPr>
            </w:pPr>
            <w:r w:rsidRPr="002566F7">
              <w:rPr>
                <w:b/>
                <w:sz w:val="22"/>
                <w:szCs w:val="22"/>
              </w:rPr>
              <w:t>Pakiet Nr</w:t>
            </w:r>
            <w:r w:rsidR="000E7037">
              <w:rPr>
                <w:b/>
                <w:sz w:val="22"/>
                <w:szCs w:val="22"/>
              </w:rPr>
              <w:t xml:space="preserve"> </w:t>
            </w:r>
            <w:r w:rsidRPr="002566F7">
              <w:rPr>
                <w:b/>
                <w:sz w:val="22"/>
                <w:szCs w:val="22"/>
              </w:rPr>
              <w:t>3:</w:t>
            </w:r>
          </w:p>
          <w:p w:rsidR="004D16BC" w:rsidRPr="002566F7" w:rsidRDefault="004D16BC" w:rsidP="00236CB7">
            <w:pPr>
              <w:spacing w:before="240"/>
              <w:ind w:left="720"/>
              <w:jc w:val="both"/>
              <w:rPr>
                <w:sz w:val="22"/>
                <w:szCs w:val="22"/>
              </w:rPr>
            </w:pPr>
            <w:proofErr w:type="spellStart"/>
            <w:r w:rsidRPr="002566F7">
              <w:rPr>
                <w:sz w:val="22"/>
                <w:szCs w:val="22"/>
              </w:rPr>
              <w:t>switch</w:t>
            </w:r>
            <w:proofErr w:type="spellEnd"/>
            <w:r w:rsidRPr="002566F7">
              <w:rPr>
                <w:sz w:val="22"/>
                <w:szCs w:val="22"/>
              </w:rPr>
              <w:t xml:space="preserve"> (przełącznik)</w:t>
            </w:r>
          </w:p>
          <w:p w:rsidR="004D16BC" w:rsidRPr="002566F7" w:rsidRDefault="004D16BC" w:rsidP="00884A1E">
            <w:pPr>
              <w:spacing w:before="240"/>
              <w:ind w:left="720"/>
              <w:jc w:val="both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4D16BC" w:rsidRPr="002566F7" w:rsidRDefault="004D16BC" w:rsidP="00236CB7">
            <w:pPr>
              <w:spacing w:before="240"/>
              <w:rPr>
                <w:sz w:val="22"/>
                <w:szCs w:val="22"/>
              </w:rPr>
            </w:pPr>
            <w:r w:rsidRPr="002566F7">
              <w:rPr>
                <w:sz w:val="22"/>
                <w:szCs w:val="22"/>
              </w:rPr>
              <w:br/>
            </w:r>
            <w:r w:rsidRPr="002566F7">
              <w:rPr>
                <w:sz w:val="22"/>
                <w:szCs w:val="22"/>
              </w:rPr>
              <w:br/>
              <w:t>3 szt.</w:t>
            </w:r>
          </w:p>
          <w:p w:rsidR="004D16BC" w:rsidRPr="002566F7" w:rsidRDefault="004D16BC" w:rsidP="00236CB7">
            <w:pPr>
              <w:spacing w:before="240"/>
              <w:rPr>
                <w:sz w:val="22"/>
                <w:szCs w:val="22"/>
              </w:rPr>
            </w:pPr>
          </w:p>
          <w:p w:rsidR="004D16BC" w:rsidRPr="002566F7" w:rsidRDefault="004D16BC" w:rsidP="00236CB7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:rsidR="004D16BC" w:rsidRPr="002566F7" w:rsidRDefault="004D16BC" w:rsidP="00236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D16BC" w:rsidRPr="002566F7" w:rsidRDefault="004D16BC" w:rsidP="00236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:rsidR="004D16BC" w:rsidRPr="002566F7" w:rsidRDefault="004D16BC" w:rsidP="00236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4D16BC" w:rsidRPr="002566F7" w:rsidRDefault="004D16BC" w:rsidP="00236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4D16BC" w:rsidRPr="002566F7" w:rsidRDefault="004D16BC" w:rsidP="00236CB7">
            <w:pPr>
              <w:jc w:val="center"/>
              <w:rPr>
                <w:sz w:val="22"/>
                <w:szCs w:val="22"/>
              </w:rPr>
            </w:pPr>
          </w:p>
        </w:tc>
      </w:tr>
    </w:tbl>
    <w:p w:rsidR="00884A1E" w:rsidRPr="002566F7" w:rsidRDefault="00884A1E" w:rsidP="00884A1E">
      <w:pPr>
        <w:tabs>
          <w:tab w:val="left" w:pos="3969"/>
        </w:tabs>
        <w:rPr>
          <w:bCs/>
        </w:rPr>
      </w:pPr>
    </w:p>
    <w:p w:rsidR="00884A1E" w:rsidRPr="002566F7" w:rsidRDefault="00884A1E" w:rsidP="00884A1E">
      <w:pPr>
        <w:ind w:left="-360" w:right="-468"/>
        <w:rPr>
          <w:b/>
          <w:sz w:val="22"/>
        </w:rPr>
      </w:pPr>
    </w:p>
    <w:p w:rsidR="00884A1E" w:rsidRPr="002566F7" w:rsidRDefault="00884A1E" w:rsidP="00884A1E">
      <w:pPr>
        <w:jc w:val="both"/>
        <w:rPr>
          <w:sz w:val="22"/>
          <w:szCs w:val="20"/>
        </w:rPr>
      </w:pPr>
      <w:r w:rsidRPr="002566F7">
        <w:rPr>
          <w:b/>
          <w:sz w:val="22"/>
          <w:szCs w:val="22"/>
        </w:rPr>
        <w:br w:type="page"/>
      </w:r>
    </w:p>
    <w:p w:rsidR="00884A1E" w:rsidRPr="002566F7" w:rsidRDefault="00884A1E" w:rsidP="00884A1E">
      <w:pPr>
        <w:pStyle w:val="Nagwek6"/>
        <w:rPr>
          <w:rFonts w:ascii="Times New Roman" w:hAnsi="Times New Roman" w:cs="Times New Roman"/>
        </w:rPr>
      </w:pPr>
    </w:p>
    <w:p w:rsidR="00884A1E" w:rsidRPr="002566F7" w:rsidRDefault="00884A1E" w:rsidP="00884A1E">
      <w:pPr>
        <w:jc w:val="both"/>
        <w:rPr>
          <w:b/>
          <w:sz w:val="22"/>
          <w:szCs w:val="22"/>
        </w:rPr>
      </w:pPr>
      <w:r w:rsidRPr="002566F7">
        <w:rPr>
          <w:b/>
          <w:sz w:val="22"/>
          <w:szCs w:val="22"/>
        </w:rPr>
        <w:t>Pakiet Nr 3</w:t>
      </w:r>
    </w:p>
    <w:p w:rsidR="00884A1E" w:rsidRPr="002566F7" w:rsidRDefault="00884A1E" w:rsidP="00884A1E">
      <w:pPr>
        <w:jc w:val="both"/>
        <w:rPr>
          <w:b/>
          <w:sz w:val="22"/>
          <w:szCs w:val="22"/>
        </w:rPr>
      </w:pPr>
    </w:p>
    <w:p w:rsidR="00884A1E" w:rsidRPr="002566F7" w:rsidRDefault="00884A1E" w:rsidP="00884A1E">
      <w:pPr>
        <w:pStyle w:val="Akapitzlist"/>
        <w:ind w:left="420"/>
        <w:jc w:val="both"/>
        <w:rPr>
          <w:rFonts w:ascii="Times New Roman" w:hAnsi="Times New Roman"/>
          <w:b/>
        </w:rPr>
      </w:pPr>
      <w:r w:rsidRPr="002566F7">
        <w:rPr>
          <w:rFonts w:ascii="Times New Roman" w:hAnsi="Times New Roman"/>
          <w:b/>
        </w:rPr>
        <w:t xml:space="preserve">Switch </w:t>
      </w:r>
      <w:proofErr w:type="spellStart"/>
      <w:r w:rsidRPr="002566F7">
        <w:rPr>
          <w:rFonts w:ascii="Times New Roman" w:hAnsi="Times New Roman"/>
          <w:b/>
        </w:rPr>
        <w:t>zarządzalny</w:t>
      </w:r>
      <w:proofErr w:type="spellEnd"/>
      <w:r w:rsidRPr="002566F7">
        <w:rPr>
          <w:rFonts w:ascii="Times New Roman" w:hAnsi="Times New Roman"/>
          <w:b/>
        </w:rPr>
        <w:t xml:space="preserve"> – 3 sztuki</w:t>
      </w:r>
    </w:p>
    <w:p w:rsidR="00884A1E" w:rsidRPr="002566F7" w:rsidRDefault="00884A1E" w:rsidP="00884A1E">
      <w:pPr>
        <w:jc w:val="both"/>
        <w:rPr>
          <w:b/>
          <w:sz w:val="22"/>
          <w:szCs w:val="22"/>
        </w:rPr>
      </w:pPr>
    </w:p>
    <w:p w:rsidR="00884A1E" w:rsidRPr="002566F7" w:rsidRDefault="00884A1E" w:rsidP="00884A1E">
      <w:pPr>
        <w:ind w:left="420"/>
        <w:jc w:val="both"/>
        <w:rPr>
          <w:b/>
          <w:sz w:val="22"/>
          <w:szCs w:val="22"/>
        </w:rPr>
      </w:pPr>
      <w:r w:rsidRPr="002566F7">
        <w:rPr>
          <w:b/>
          <w:sz w:val="22"/>
          <w:szCs w:val="22"/>
        </w:rPr>
        <w:t>Nazwa producenta: ……………………………………………………………………………..</w:t>
      </w:r>
    </w:p>
    <w:p w:rsidR="00884A1E" w:rsidRPr="002566F7" w:rsidRDefault="00884A1E" w:rsidP="00884A1E">
      <w:pPr>
        <w:pStyle w:val="Nagwek6"/>
        <w:rPr>
          <w:rFonts w:ascii="Times New Roman" w:hAnsi="Times New Roman" w:cs="Times New Roman"/>
        </w:rPr>
      </w:pPr>
      <w:r w:rsidRPr="002566F7">
        <w:rPr>
          <w:rFonts w:ascii="Times New Roman" w:hAnsi="Times New Roman" w:cs="Times New Roman"/>
        </w:rPr>
        <w:t xml:space="preserve">      Typ produktu, model: …………………………………………………………………………..</w:t>
      </w:r>
    </w:p>
    <w:p w:rsidR="00884A1E" w:rsidRPr="002566F7" w:rsidRDefault="00884A1E" w:rsidP="00884A1E"/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0348"/>
      </w:tblGrid>
      <w:tr w:rsidR="00884A1E" w:rsidRPr="002566F7" w:rsidTr="00236CB7">
        <w:trPr>
          <w:trHeight w:val="1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1E" w:rsidRPr="002566F7" w:rsidRDefault="00884A1E" w:rsidP="00236CB7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2"/>
              </w:rPr>
            </w:pPr>
            <w:r w:rsidRPr="002566F7">
              <w:rPr>
                <w:b/>
                <w:color w:val="000000"/>
                <w:sz w:val="22"/>
              </w:rPr>
              <w:br/>
              <w:t>FUNKCJONALNOŚĆ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1E" w:rsidRPr="002566F7" w:rsidRDefault="00884A1E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2566F7">
              <w:rPr>
                <w:b/>
                <w:bCs/>
                <w:color w:val="000000"/>
                <w:sz w:val="22"/>
              </w:rPr>
              <w:br/>
              <w:t>OPIS</w:t>
            </w:r>
          </w:p>
        </w:tc>
      </w:tr>
      <w:tr w:rsidR="00884A1E" w:rsidRPr="002566F7" w:rsidTr="00236CB7">
        <w:trPr>
          <w:trHeight w:val="1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1E" w:rsidRPr="002566F7" w:rsidRDefault="00884A1E" w:rsidP="00236CB7">
            <w:pPr>
              <w:pStyle w:val="HTML-wstpniesformatowany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566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Charakterystyka sprzętowa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br/>
              <w:t>Porty 1000Base-T (IEEE 802.3/802.3u/802.3ab) - liczba portów co najmniej 48.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br/>
              <w:t>Porty na moduły światłowodowe SFP (IEEE 802.3z) z możliwością instalacji modułów 1000Base-SX/LX/LH/ZX - liczba portów co najmniej 4. Dopuszcza się, aby porty SFP były dzielone z portami 1000Base-T.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br/>
              <w:t xml:space="preserve">Porty muszą wspierać standard 802.3x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Flow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Control dla trybu Full-Duplex oraz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Back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Pressure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dla trybu Half-Duplex i automatyczne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krosowanie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(Auto MDI/MDI-X).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br/>
              <w:t xml:space="preserve">Musi istnieć możliwość zmiany prędkości i dupleksu każdego portu i wyłączenia trybu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FlowControl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dla każdego portu.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br/>
              <w:t>Urządzenie powinno obsługiwać moduły SFP 1000Base-SX/LX/LH/ZX (IEEE 802.3z) oraz SFP 100Base-FX (IEEE 802.3u); SFP 1000Base-T (IEEE 802.3ab) oraz SFP 100Base-TX (IEEE 802.3u).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br/>
              <w:t>Sprzęt powinien być wyposażony w konsolę szeregową w standardzie RS-232 w celu umożliwienia zarządzania lokalnego.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br/>
              <w:t xml:space="preserve">Urządzenie powinno umożliwiać łączenie w stosy o wielkości co najmniej 6 jednostek. Stos powinien być wyposażony w funkcjonalność zapewniającą, że w przypadku awarii głównego przełącznika stosu, praca stosu nie zostanie zakłócona, w szczególności nie nastąpi ponowne uruchomienie stosu. </w:t>
            </w:r>
            <w:r w:rsidRPr="002566F7">
              <w:rPr>
                <w:rFonts w:ascii="Times New Roman" w:hAnsi="Times New Roman" w:cs="Times New Roman"/>
                <w:color w:val="000000"/>
              </w:rPr>
              <w:br/>
            </w:r>
            <w:r w:rsidRPr="002566F7">
              <w:rPr>
                <w:rFonts w:ascii="Times New Roman" w:hAnsi="Times New Roman" w:cs="Times New Roman"/>
                <w:color w:val="000000"/>
              </w:rPr>
              <w:br/>
              <w:t xml:space="preserve">Protokół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stackujący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powinien, w przypadku pracy w topologii pierścienia, zapewniać przesyłanie ruchu pomiędzy przełącznikami krótszą drogą. Przepustowość magistrali stosu powinna wynosić co najmniej 40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Gb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>/s. Stos powinien umożliwiać agregację połączeń oraz kopiowanie ruchu przy użyciu dowolnych portów w stosie.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br/>
              <w:t>Musi istnieć możliwość użycia dodatkowego zasilacza nadmiarowego.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br/>
              <w:t xml:space="preserve">Magistrala przełączająca powinna posiadać wydajność nie mniejszą, niż 136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Gb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/s. Wydajność przełączania dla pakietów 64B powinna wynosić nie mniej niż 101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Mp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>/s.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br/>
              <w:t xml:space="preserve">Urządzenie musi posiadać architekturę nieblokującą (zapewniać przełączanie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wire-speed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- z pełną prędkością na wszystkich portach w maksymalnej konfiguracji).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lastRenderedPageBreak/>
              <w:br/>
              <w:t>Pojemność tablicy MAC powinna wynosić nie mniej, niż 16K adresów MAC. Powinna też istnieć możliwość wprowadzenia co najmniej 250 wpisów statycznych.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br/>
              <w:t>Dostępna pamięć RAM powinna wynosić nie mniej, niż 256 MB. Pamięć Flash - nie mniej niż 32 MB.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br/>
              <w:t>Urządzenie powinno być wyposażone w dodatkowy slot dla karty SD. Powinna istnieć możliwość obsadzenia karty o pojemności co najmniej 32 GB.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br/>
              <w:t>Urządzenie powinno obsługiwać ramki typu Jumbo o rozmiarze co najmniej 13310 B.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br/>
              <w:t>Bufor pamięci zarezerwowanej na przetwarzane pakiety powinien wynosić nie mniej, niż 2 MB.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br/>
              <w:t>Maksymalna temperatura pracy dla urządzenia nie powinna być mniejsza, niż 48 stopni Celsjusza.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br/>
              <w:t>Urządzenie powinno charakteryzować się średnim czasem pomiędzy awariami wynoszącym co najmniej 270000 godzin.</w:t>
            </w:r>
          </w:p>
          <w:p w:rsidR="00884A1E" w:rsidRPr="002566F7" w:rsidRDefault="00884A1E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2566F7">
              <w:rPr>
                <w:color w:val="000000"/>
                <w:sz w:val="22"/>
              </w:rPr>
              <w:t xml:space="preserve"> </w:t>
            </w:r>
          </w:p>
        </w:tc>
      </w:tr>
      <w:tr w:rsidR="00884A1E" w:rsidRPr="002566F7" w:rsidTr="00236CB7">
        <w:trPr>
          <w:trHeight w:val="1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6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Funkcjonalności warstwy 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 xml:space="preserve">Urządzenie powinno posiadać funkcjonalność IGMP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Snooping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w wersji co najmniej 3 oraz obsługiwać nie mniej, niż 1020 grup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multicast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w tym możliwość utworzenia co najmniej 128 grup statycznych.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 xml:space="preserve">Urządzenie powinno posiadać także funkcjonalność MLD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Snooping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w wersji co najmniej 2 oraz obsługiwać nie mniej, niż 1020 grup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multicast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w tym możliwość utworzenia co najmniej 128 grup statycznych.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Powinna istnieć możliwość uwierzytelnienia klienta przed dostarczeniem mu strumienia Multicast.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 xml:space="preserve">Urządzenie powinno umożliwiać konfigurację filtrów dla protokołu IGMP ograniczających adresy IPv4 grup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multicast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do których poszczególni klienci mogą się przyłączać.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 xml:space="preserve">Urządzenie powinno umożliwiać również konfigurację filtrów dla protokołu MLD ograniczających adresy grup IPv6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multicast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do których poszczególni klienci mogą się przyłączać.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 xml:space="preserve">Przełącznik powinien obsługiwać protokoły umożliwiające unikanie pętli w warstwie 2: IEEE 802.1D, 802.1w, 802.1s w tym co najmniej 16 instancji MSTP. Powinno także wspierać funkcjonalność 802.1Q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Restricted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Role oraz 802.1Q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Restricted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TCN.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 xml:space="preserve">Wymagana jest obecność funkcjonalności powodującej, że w przypadku gdy wystąpi pętla w części sieci nie objętej protokołami drzewa rozpinającego, część ta zostanie odłączona od reszty sieci aby zapobiec rozprzestrzenianiu się burzy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broadcastowej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 xml:space="preserve">Urządzenie musi umożliwiać tworzenie połączeń Link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Aggregation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- nie mniej niż 8 portów na grupę oraz 32 grup na urządzenie oraz obsługiwać protokół LACP.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Przełącznik musi mieć wbudowaną funkcjonalność LLDP (802.1AB) oraz LLDP-MED.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lastRenderedPageBreak/>
              <w:t xml:space="preserve">Urządzenie musi posiadać obsługę funkcjonalności DHCP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Relay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w tym opcji 60 i 61 oraz opcji 82, a także umożliwiać przechwytywanie zapytań DHCP od klienta i, po dodaniu opcji 82, przekazywanie ich do serwera DHCP znajdującego się w tej samej sieci VLAN, w której znajduje się klient.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Przełącznik powinien posiadać funkcjonalność kopiowania ruchu z jednego lub wielu portów na port monitorujący w celu umożliwienia jego analizy. Musi istnieć możliwość kopiowania tylko wybranego ruchu na danym porcie (np. tylko kierowanego do określonego adresu IP) oraz kopiowania ruchu na port monitorujący znajdujący się w innym przełączniku.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Urządzenie powinno umożliwiać dostarczanie ruchu na wiele portów fizycznych na których obecne są te same adresy IP i MAC co pozwala na bezpośrednie przyłączenie klastrów serwerów posługujących się pojedynczym wirtualnym adresem IP i MAC.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Przełącznik powinien także umożliwiać przekierowanie ruchu UDP na wskazany adres IP w sieci.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2566F7">
              <w:rPr>
                <w:color w:val="000000"/>
                <w:sz w:val="20"/>
                <w:szCs w:val="20"/>
              </w:rPr>
              <w:t>Urządzenie powinno umożliwiać tunelowanie ruchu kontrolnego L2, w tym protokołów GVRP i STP</w:t>
            </w:r>
          </w:p>
          <w:p w:rsidR="00884A1E" w:rsidRPr="002566F7" w:rsidRDefault="00884A1E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84A1E" w:rsidRPr="002566F7" w:rsidTr="00236CB7">
        <w:trPr>
          <w:trHeight w:val="1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566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Obsługa sieci VLAN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 xml:space="preserve">Przełącznik powinien umożliwiać konfigurację sieci VLAN w standardzie 802.1Q, co najmniej 4094 jednocześnie skonfigurowanych takich sieci w tym powinien umożliwiać obsługę VLAN zgodnie z protokołem 802.1v oraz obsługiwać dynamiczne przyłączanie do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VLANu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 xml:space="preserve">Powinna być też możliwość tworzenia specjalnych sieci VLAN dla przenoszenia ruchu typu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multicast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i rozdzielenia tak przenoszonego ruchu na klientów żądających przyłączenia do danej grupy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multicast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Urządzenie powinno umożliwić utworzenie co najmniej 5 takich sieci VLAN.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Przełącznik powinien umożliwiać automatyczne przypisywanie urządzeń monitoringu wizyjnego do specjalnie wydzielonej w tym celu sieci VLAN.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Powinna być możliwość tworzenia sieci VLAN w oparciu o adresy MAC urządzeń. Urządzenie powinno akceptować co najmniej 1020 wpisów MAC dla takiej sieci VLAN.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 xml:space="preserve">Urządzenie powinno umożliwiać tworzenie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VLANów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, które będą zapewniały funkcjonalność tworzenia wielu grup portów w ramach których porty będą mogły się komunikować, ale zablokowana będzie komunikacja pomiędzy portami w różnych grupach oraz wszystkie grupy będą mogły komunikować się z grupą portów wspólnych. Wszystkie porty należące do takich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VLANów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powinny pozostać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nietagowane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Urządzenie powinno być wyposażone w funkcjonalność umożliwiającą tunelowanie ruchu w sieciach VLAN, które nie są skonfigurowane na tym urządzeniu.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2566F7">
              <w:rPr>
                <w:color w:val="000000"/>
                <w:sz w:val="20"/>
                <w:szCs w:val="20"/>
              </w:rPr>
              <w:t>Urządzenie powinno także umożliwiać tworzenie asymetrycznych sieci VLAN</w:t>
            </w:r>
          </w:p>
          <w:p w:rsidR="00884A1E" w:rsidRPr="002566F7" w:rsidRDefault="00884A1E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84A1E" w:rsidRPr="002566F7" w:rsidTr="00236CB7">
        <w:trPr>
          <w:trHeight w:val="1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566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Funkcjonalności warstwy 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 xml:space="preserve">Przełącznik musi posiadać funkcjonalność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Gratuitous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ARP.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lastRenderedPageBreak/>
              <w:t>Urządzenie powinno posiadać tablicę ARP o wielkości co najmniej 2K wpisów oraz umożliwiać wprowadzenie co najmniej 256 wpisów statycznych.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 xml:space="preserve">Urządzenie powinno wspierać funkcję IPv6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Neighbor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Discovery.</w:t>
            </w:r>
          </w:p>
          <w:p w:rsidR="00884A1E" w:rsidRPr="002566F7" w:rsidRDefault="00884A1E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</w:p>
        </w:tc>
      </w:tr>
      <w:tr w:rsidR="00884A1E" w:rsidRPr="002566F7" w:rsidTr="00236CB7">
        <w:trPr>
          <w:trHeight w:val="1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566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Quality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of Service</w:t>
            </w:r>
          </w:p>
          <w:p w:rsidR="00884A1E" w:rsidRPr="002566F7" w:rsidRDefault="00884A1E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 xml:space="preserve">Przełącznik powinien obsługiwać funkcjonalność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QoS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i posiadać co najmniej 8 kolejek sprzętowych na każdym porcie fizycznym. Klasyfikacja ruchu do odpowiednich kolejek powinna odbywać się na bazie co najmniej: wejściowego portu fizycznego przełącznika, sieci VLAN, adresu MAC, pola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EtherType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>, adresu IP, adresu IPv6, pola DSCP, typu protokołu, portu TCP/UDP.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Urządzenie powinno umożliwiać mapowanie wartości pola DSCP w pakiecie IP do odpowiednich klas obsługi ruchu.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 xml:space="preserve">Urządzenie powinno obsługiwać tzw. CIR z minimalną granulacją nie mniejszą, niż 64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kb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>/s.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Przełącznik powinien umożliwiać kontrolę kongestii ruchu WRED.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 xml:space="preserve">Urządzenie powinno umożliwiać limitowanie pasma osobno dla każdej klasy ruchu (kolejki na porcie fizycznym) z granulacją co najwyżej 64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kb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/s oraz umożliwiać gwarantowanie pasma osobno dla każdej klasy ruchu (kolejki na porcie fizycznym) z granulacją co najwyżej 64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kb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>/s.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 xml:space="preserve">Przełącznik powinien umożliwiać ograniczenie pasma dla ruchu wychodzącego na każdym porcie z granulacją co najwyżej 64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kb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>/s.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 xml:space="preserve">Urządzenie powinno także umożliwiać limitowanie pasma dla ruchu przychodzącego na każdym porcie z granulacją co najwyżej 64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kb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>/s.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 xml:space="preserve">Powinna istnieć funkcjonalność limitowania pasma dla określonego typu ruchu (np. odbywającego się na danym porcie TCP lub UDP) z granulacją nie większą, niż 8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kb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>/s.</w:t>
            </w:r>
          </w:p>
          <w:p w:rsidR="00884A1E" w:rsidRPr="002566F7" w:rsidRDefault="00884A1E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2566F7">
              <w:rPr>
                <w:color w:val="000000"/>
                <w:sz w:val="20"/>
                <w:szCs w:val="20"/>
              </w:rPr>
              <w:t xml:space="preserve">Przełącznik powinien mieć możliwość zarządzania </w:t>
            </w:r>
            <w:proofErr w:type="spellStart"/>
            <w:r w:rsidRPr="002566F7">
              <w:rPr>
                <w:color w:val="000000"/>
                <w:sz w:val="20"/>
                <w:szCs w:val="20"/>
              </w:rPr>
              <w:t>QoS</w:t>
            </w:r>
            <w:proofErr w:type="spellEnd"/>
            <w:r w:rsidRPr="002566F7">
              <w:rPr>
                <w:color w:val="000000"/>
                <w:sz w:val="20"/>
                <w:szCs w:val="20"/>
              </w:rPr>
              <w:t xml:space="preserve"> wg kalendarza</w:t>
            </w:r>
          </w:p>
          <w:p w:rsidR="00884A1E" w:rsidRPr="002566F7" w:rsidRDefault="00884A1E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84A1E" w:rsidRPr="002566F7" w:rsidTr="00236CB7">
        <w:trPr>
          <w:trHeight w:val="1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6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Filtrowanie ruchu</w:t>
            </w:r>
          </w:p>
          <w:p w:rsidR="00884A1E" w:rsidRPr="002566F7" w:rsidRDefault="00884A1E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Urządzenie powinno posiadać możliwość filtrowania ruchu w oparciu co najmniej o informacje takie, jak: port przełącznika, adres MAC, sieć VLAN, priorytet 802.1p, adres IP, adres IPv6, zawartość pola DSCP, typ protokołu, flagi protokołu TCP, port TCP/UDP, klasę ruchu IPv6, etykietę ruchu IPv6, a także umożliwiać tworzenie statystyk dla ACL i mieć możliwość uruchamiania reguł ACL wg kalendarza.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Przełącznik powinien mieć możliwość definiowania reguł ACL na poziomie sieci VLAN.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Musi istnieć też możliwość niezależnej filtracji ruchu kierowanego do procesora przełącznika w celu jego dodatkowej ochrony.</w:t>
            </w:r>
          </w:p>
          <w:p w:rsidR="00884A1E" w:rsidRPr="002566F7" w:rsidRDefault="00884A1E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</w:p>
        </w:tc>
      </w:tr>
      <w:tr w:rsidR="00884A1E" w:rsidRPr="002566F7" w:rsidTr="00236CB7">
        <w:trPr>
          <w:trHeight w:val="1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6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Zarządzanie</w:t>
            </w:r>
          </w:p>
          <w:p w:rsidR="00884A1E" w:rsidRPr="002566F7" w:rsidRDefault="00884A1E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Powinna istnieć możliwość konfiguracji uwierzytelniania dostępu do urządzenia na zewnętrznym serwerze RADIUS i TACACS+.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lastRenderedPageBreak/>
              <w:t>Grupa urządzeń połączonych w stos powinna być zarządzana poprzez jeden adres IP.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Zarządzanie urządzeniem powinno odbywać się przez: przeglądarkę internetową - również poprzez adres IPv6, Telnet - również poprzez adres IPv6, SSH, konsolę lokalną. Zarządzanie przez interfejs tekstowy musi umożliwiać wprowadzanie poleceń. Niedopuszczalna jest konfiguracja oparta o wybór z menu. Interfejs tekstowy musi zapewniać konfigurację wszystkich funkcjonalności urządzenia.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Urządzenie musi mieć wbudowaną funkcjonalność klienta Telnet - również poprzez adres IPv6.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W przypadku zarządzania przez interfejs WWW musi być możliwość szyfrowania połączenia protokołem SSLv3.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Urządzenie musi obsługiwać protokół zarządzania SNMPv2, v3.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Przełącznik musi umożliwiać monitorowanie zdalne protokołem RMON oraz RMONv2.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Urządzenie musi posiadać wbudowanego klienta DHCP i DHCPv6 oraz umożliwiać automatyczne pobieranie konfiguracji z zewnętrznego serwera TFTP podczas uruchamiania urządzenia.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Przełącznik powinien posiadać wbudowanego klienta SMTP.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Przełącznik musi posiadać możliwość synchronizacji swojego zegara systemowego z zewnętrznym źródłem czasu także przy użyciu protokołu IPv6.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Zapisywanie logów generowanych przez urządzenie musi być możliwe na zewnętrznym serwerze logów.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Urządzenie powinno posiadać możliwość wysyłania i pobierania konfiguracji z serwera TFTP w sieci.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 xml:space="preserve">Przełącznik musi umożliwiać wykonywanie polecenia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traceroute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z poziomu jego interfejsu zarządzającego.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Urządzenie powinno posiadać możliwość wykonywania polecenia ping z poziomu interfejsu zarządzającego - również poprzez adres IPv6.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Interfejs WWW przełącznika powinien umożliwiać graficzne monitorowanie ruchu na portach fizycznych urządzenia, a także umożliwiać przeglądanie tablicy adresów MAC.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Powinna istnieć możliwość uruchomienia diagnostyki okablowania z poziomu interfejsu zarządzającego urządzenia. Test powinien dokonywać co najmniej pomiaru długości kabla oraz ciągłości połączenia.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Interfejs zarządzający musi umożliwiać wprowadzenie tekstowego opisu dla każdego z portów fizycznych urządzenia.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 xml:space="preserve">Urządzenie powinno być w stanie wysyłać powiadomienia SNMP (tzw. SNMP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Traps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>) w przypadku pojawienia się w sieci nowego adresu MAC.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 xml:space="preserve">Urządzenie powinno umożliwiać przechowywanie wielu wersji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firmware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oraz wielu wersji konfiguracji.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lastRenderedPageBreak/>
              <w:t>Przełącznik powinien być wyposażony w pamięć Flash umożliwiającą przechowywanie dowolnej liczby plików.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Urządzenie powinno wspierać standard 802.3az (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Energy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566F7">
              <w:rPr>
                <w:rFonts w:ascii="Times New Roman" w:hAnsi="Times New Roman" w:cs="Times New Roman"/>
                <w:color w:val="000000"/>
              </w:rPr>
              <w:t>Efficient</w:t>
            </w:r>
            <w:proofErr w:type="spellEnd"/>
            <w:r w:rsidRPr="002566F7">
              <w:rPr>
                <w:rFonts w:ascii="Times New Roman" w:hAnsi="Times New Roman" w:cs="Times New Roman"/>
                <w:color w:val="000000"/>
              </w:rPr>
              <w:t xml:space="preserve"> Ethernet).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Przełącznik powinien umożliwić zmniejszenie pobieranej mocy poprzez wykrywanie aktywności linku na portach oraz wykrywanie długości linku na portach, a także administracyjnego wyłączenia wskaźników LED na portach, wyłączenie wskaźników LED na portach w zdefiniowanych interwałach czasowych, wyłączenie portów przełącznika w zdefiniowanych interwałach czasowych oraz wyłączenie wszystkich funkcji sieciowych urządzenia w zdefiniowanych interwałach czasowych.</w:t>
            </w:r>
          </w:p>
          <w:p w:rsidR="00884A1E" w:rsidRPr="002566F7" w:rsidRDefault="00884A1E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</w:p>
        </w:tc>
      </w:tr>
      <w:tr w:rsidR="00884A1E" w:rsidRPr="002566F7" w:rsidTr="00236CB7">
        <w:trPr>
          <w:trHeight w:val="1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6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Pozostałe</w:t>
            </w:r>
          </w:p>
          <w:p w:rsidR="00884A1E" w:rsidRPr="002566F7" w:rsidRDefault="00884A1E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6F7">
              <w:rPr>
                <w:rFonts w:ascii="Times New Roman" w:hAnsi="Times New Roman" w:cs="Times New Roman"/>
                <w:color w:val="000000"/>
              </w:rPr>
              <w:t>Do urządzenia powinny być dostępne bezpłatne aktualizacje oprogramowania.</w:t>
            </w:r>
          </w:p>
          <w:p w:rsidR="00884A1E" w:rsidRPr="002566F7" w:rsidRDefault="00884A1E" w:rsidP="00236CB7">
            <w:pPr>
              <w:pStyle w:val="HTML-wstpniesformatowany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84A1E" w:rsidRPr="002566F7" w:rsidRDefault="00884A1E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2566F7">
              <w:rPr>
                <w:color w:val="000000"/>
                <w:sz w:val="20"/>
                <w:szCs w:val="20"/>
              </w:rPr>
              <w:t>Sprzęt powinien być objęty dożywotnią gwarancją oraz dodatkowo przez minimum 5 lat po zakończeniu jego produkcji</w:t>
            </w:r>
          </w:p>
        </w:tc>
      </w:tr>
    </w:tbl>
    <w:p w:rsidR="00884A1E" w:rsidRPr="002566F7" w:rsidRDefault="00884A1E" w:rsidP="00884A1E">
      <w:pPr>
        <w:pStyle w:val="Nagwek6"/>
        <w:rPr>
          <w:rFonts w:ascii="Times New Roman" w:hAnsi="Times New Roman" w:cs="Times New Roman"/>
        </w:rPr>
      </w:pPr>
    </w:p>
    <w:p w:rsidR="00884A1E" w:rsidRPr="002566F7" w:rsidRDefault="00884A1E" w:rsidP="00884A1E">
      <w:pPr>
        <w:pStyle w:val="Nagwek6"/>
        <w:rPr>
          <w:rFonts w:ascii="Times New Roman" w:hAnsi="Times New Roman" w:cs="Times New Roman"/>
        </w:rPr>
      </w:pPr>
    </w:p>
    <w:p w:rsidR="00884A1E" w:rsidRPr="00CD59FB" w:rsidRDefault="00884A1E" w:rsidP="00CD59FB">
      <w:pPr>
        <w:pStyle w:val="Nagwek6"/>
        <w:rPr>
          <w:rFonts w:ascii="Times New Roman" w:hAnsi="Times New Roman" w:cs="Times New Roman"/>
        </w:rPr>
      </w:pPr>
    </w:p>
    <w:p w:rsidR="00884A1E" w:rsidRPr="002566F7" w:rsidRDefault="00884A1E" w:rsidP="00884A1E">
      <w:r w:rsidRPr="002566F7">
        <w:t>Dodatkowe warunki realizacji zamówienia:</w:t>
      </w:r>
    </w:p>
    <w:p w:rsidR="00884A1E" w:rsidRPr="002566F7" w:rsidRDefault="00884A1E" w:rsidP="00884A1E">
      <w:pPr>
        <w:numPr>
          <w:ilvl w:val="0"/>
          <w:numId w:val="1"/>
        </w:numPr>
        <w:autoSpaceDE w:val="0"/>
        <w:autoSpaceDN w:val="0"/>
        <w:adjustRightInd w:val="0"/>
      </w:pPr>
      <w:r w:rsidRPr="002566F7">
        <w:t xml:space="preserve">podzespoły muszą </w:t>
      </w:r>
      <w:r w:rsidR="00D87490">
        <w:t>być fabrycznie nowe;</w:t>
      </w:r>
    </w:p>
    <w:p w:rsidR="00884A1E" w:rsidRPr="002566F7" w:rsidRDefault="00884A1E" w:rsidP="00884A1E">
      <w:pPr>
        <w:numPr>
          <w:ilvl w:val="0"/>
          <w:numId w:val="1"/>
        </w:numPr>
        <w:autoSpaceDE w:val="0"/>
        <w:autoSpaceDN w:val="0"/>
        <w:adjustRightInd w:val="0"/>
      </w:pPr>
      <w:r w:rsidRPr="002566F7">
        <w:t>koszt naprawy i transportu sprzętu w okresie gwaranc</w:t>
      </w:r>
      <w:r w:rsidR="00D87490">
        <w:t>ji pokrywa Wykonawca (Dostawca);</w:t>
      </w:r>
    </w:p>
    <w:p w:rsidR="00884A1E" w:rsidRPr="002566F7" w:rsidRDefault="00884A1E" w:rsidP="00884A1E">
      <w:pPr>
        <w:numPr>
          <w:ilvl w:val="0"/>
          <w:numId w:val="1"/>
        </w:numPr>
        <w:autoSpaceDE w:val="0"/>
        <w:autoSpaceDN w:val="0"/>
        <w:adjustRightInd w:val="0"/>
      </w:pPr>
      <w:r w:rsidRPr="002566F7">
        <w:t>czas reakcji s</w:t>
      </w:r>
      <w:r w:rsidR="00D87490">
        <w:t>erwisu - następny dzień roboczy;</w:t>
      </w:r>
    </w:p>
    <w:p w:rsidR="00884A1E" w:rsidRPr="002566F7" w:rsidRDefault="00884A1E" w:rsidP="00884A1E">
      <w:pPr>
        <w:numPr>
          <w:ilvl w:val="0"/>
          <w:numId w:val="1"/>
        </w:numPr>
        <w:autoSpaceDE w:val="0"/>
        <w:autoSpaceDN w:val="0"/>
        <w:adjustRightInd w:val="0"/>
      </w:pPr>
      <w:r w:rsidRPr="002566F7">
        <w:t>Wykonawca zobowiązuje się do możliwości odebrania starego sprzętu komputerowego.</w:t>
      </w:r>
    </w:p>
    <w:p w:rsidR="00884A1E" w:rsidRPr="002566F7" w:rsidRDefault="00884A1E" w:rsidP="00884A1E">
      <w:pPr>
        <w:overflowPunct w:val="0"/>
        <w:autoSpaceDE w:val="0"/>
        <w:autoSpaceDN w:val="0"/>
        <w:adjustRightInd w:val="0"/>
        <w:rPr>
          <w:bCs/>
        </w:rPr>
      </w:pPr>
    </w:p>
    <w:p w:rsidR="00884A1E" w:rsidRPr="002566F7" w:rsidRDefault="0064589E" w:rsidP="00884A1E">
      <w:pPr>
        <w:overflowPunct w:val="0"/>
        <w:autoSpaceDE w:val="0"/>
        <w:autoSpaceDN w:val="0"/>
        <w:adjustRightInd w:val="0"/>
        <w:rPr>
          <w:bCs/>
        </w:rPr>
      </w:pPr>
      <w:r w:rsidRPr="002566F7">
        <w:rPr>
          <w:bCs/>
        </w:rPr>
        <w:t>Uwaga! G</w:t>
      </w:r>
      <w:r w:rsidR="00884A1E" w:rsidRPr="002566F7">
        <w:rPr>
          <w:bCs/>
        </w:rPr>
        <w:t>warancja nie może być krótsza od podanej; Wykonawca musi posiadać (ważną w dniu składania ofert) autoryzację producenta sprzętu (w zakresie sprzedaży oferowanego sprzętu).</w:t>
      </w:r>
    </w:p>
    <w:p w:rsidR="0064589E" w:rsidRPr="002566F7" w:rsidRDefault="0064589E" w:rsidP="00884A1E">
      <w:pPr>
        <w:overflowPunct w:val="0"/>
        <w:autoSpaceDE w:val="0"/>
        <w:autoSpaceDN w:val="0"/>
        <w:adjustRightInd w:val="0"/>
        <w:rPr>
          <w:bCs/>
        </w:rPr>
      </w:pPr>
    </w:p>
    <w:p w:rsidR="0064589E" w:rsidRDefault="0064589E" w:rsidP="0064589E">
      <w:pPr>
        <w:jc w:val="both"/>
        <w:rPr>
          <w:b/>
          <w:color w:val="FF0000"/>
          <w:sz w:val="22"/>
          <w:szCs w:val="22"/>
        </w:rPr>
      </w:pPr>
      <w:r w:rsidRPr="002566F7">
        <w:rPr>
          <w:b/>
          <w:color w:val="FF0000"/>
          <w:sz w:val="22"/>
          <w:szCs w:val="22"/>
        </w:rPr>
        <w:t>Nadto oświadczam(y), iż świadom(i) jestem(</w:t>
      </w:r>
      <w:proofErr w:type="spellStart"/>
      <w:r w:rsidRPr="002566F7">
        <w:rPr>
          <w:b/>
          <w:color w:val="FF0000"/>
          <w:sz w:val="22"/>
          <w:szCs w:val="22"/>
        </w:rPr>
        <w:t>śmy</w:t>
      </w:r>
      <w:proofErr w:type="spellEnd"/>
      <w:r w:rsidRPr="002566F7">
        <w:rPr>
          <w:b/>
          <w:color w:val="FF0000"/>
          <w:sz w:val="22"/>
          <w:szCs w:val="22"/>
        </w:rPr>
        <w:t>) odpowiedzialności karnej za czyny określone w treści art. 297 § 1 Kodeksu karnego.</w:t>
      </w:r>
    </w:p>
    <w:p w:rsidR="00320E91" w:rsidRDefault="00320E91" w:rsidP="0064589E">
      <w:pPr>
        <w:jc w:val="both"/>
        <w:rPr>
          <w:b/>
          <w:color w:val="FF0000"/>
          <w:sz w:val="22"/>
          <w:szCs w:val="22"/>
        </w:rPr>
      </w:pPr>
    </w:p>
    <w:p w:rsidR="00725E15" w:rsidRDefault="00725E15" w:rsidP="0064589E">
      <w:pPr>
        <w:jc w:val="both"/>
        <w:rPr>
          <w:b/>
          <w:color w:val="FF0000"/>
          <w:sz w:val="22"/>
          <w:szCs w:val="22"/>
        </w:rPr>
      </w:pPr>
    </w:p>
    <w:p w:rsidR="00725E15" w:rsidRPr="002566F7" w:rsidRDefault="00725E15" w:rsidP="0064589E">
      <w:pPr>
        <w:jc w:val="both"/>
        <w:rPr>
          <w:b/>
          <w:color w:val="FF0000"/>
          <w:sz w:val="22"/>
          <w:szCs w:val="22"/>
        </w:rPr>
      </w:pPr>
    </w:p>
    <w:p w:rsidR="0064589E" w:rsidRPr="002566F7" w:rsidRDefault="0064589E" w:rsidP="00884A1E">
      <w:pPr>
        <w:overflowPunct w:val="0"/>
        <w:autoSpaceDE w:val="0"/>
        <w:autoSpaceDN w:val="0"/>
        <w:adjustRightInd w:val="0"/>
        <w:rPr>
          <w:bCs/>
        </w:rPr>
      </w:pPr>
    </w:p>
    <w:p w:rsidR="00884A1E" w:rsidRPr="002566F7" w:rsidRDefault="00884A1E" w:rsidP="00884A1E">
      <w:pPr>
        <w:pStyle w:val="Tekstpodstawowywcity2"/>
      </w:pPr>
      <w:r w:rsidRPr="002566F7">
        <w:t xml:space="preserve">                                                            ........................................................................................... </w:t>
      </w:r>
    </w:p>
    <w:p w:rsidR="00884A1E" w:rsidRPr="002566F7" w:rsidRDefault="00884A1E" w:rsidP="00884A1E">
      <w:pPr>
        <w:overflowPunct w:val="0"/>
        <w:autoSpaceDE w:val="0"/>
        <w:autoSpaceDN w:val="0"/>
        <w:adjustRightInd w:val="0"/>
        <w:ind w:left="2124" w:firstLine="708"/>
        <w:jc w:val="center"/>
        <w:rPr>
          <w:bCs/>
          <w:sz w:val="20"/>
          <w:szCs w:val="20"/>
        </w:rPr>
      </w:pPr>
      <w:r w:rsidRPr="002566F7">
        <w:rPr>
          <w:bCs/>
          <w:sz w:val="20"/>
          <w:szCs w:val="20"/>
        </w:rPr>
        <w:t xml:space="preserve">                                                                           </w:t>
      </w:r>
      <w:r w:rsidRPr="002566F7">
        <w:rPr>
          <w:b/>
          <w:sz w:val="20"/>
          <w:szCs w:val="20"/>
        </w:rPr>
        <w:t>data</w:t>
      </w:r>
      <w:r w:rsidRPr="002566F7">
        <w:rPr>
          <w:bCs/>
          <w:sz w:val="20"/>
          <w:szCs w:val="20"/>
        </w:rPr>
        <w:t>, podpis i pieczęć osoby/osób upoważnionej/</w:t>
      </w:r>
      <w:proofErr w:type="spellStart"/>
      <w:r w:rsidRPr="002566F7">
        <w:rPr>
          <w:bCs/>
          <w:sz w:val="20"/>
          <w:szCs w:val="20"/>
        </w:rPr>
        <w:t>ych</w:t>
      </w:r>
      <w:proofErr w:type="spellEnd"/>
      <w:r w:rsidRPr="002566F7">
        <w:rPr>
          <w:bCs/>
          <w:sz w:val="20"/>
          <w:szCs w:val="20"/>
        </w:rPr>
        <w:t xml:space="preserve"> do</w:t>
      </w:r>
    </w:p>
    <w:p w:rsidR="00884A1E" w:rsidRPr="002566F7" w:rsidRDefault="00884A1E" w:rsidP="00884A1E">
      <w:pPr>
        <w:ind w:left="7788" w:hanging="228"/>
        <w:rPr>
          <w:bCs/>
          <w:sz w:val="20"/>
          <w:szCs w:val="20"/>
        </w:rPr>
      </w:pPr>
      <w:r w:rsidRPr="002566F7">
        <w:rPr>
          <w:bCs/>
          <w:sz w:val="20"/>
          <w:szCs w:val="20"/>
        </w:rPr>
        <w:t xml:space="preserve">                                    reprezentowania Wykonawcy</w:t>
      </w:r>
    </w:p>
    <w:p w:rsidR="00884A1E" w:rsidRPr="002566F7" w:rsidRDefault="00884A1E" w:rsidP="00884A1E"/>
    <w:p w:rsidR="00884A1E" w:rsidRPr="002566F7" w:rsidRDefault="00884A1E" w:rsidP="00884A1E"/>
    <w:p w:rsidR="00884A1E" w:rsidRPr="002566F7" w:rsidRDefault="00884A1E" w:rsidP="00884A1E"/>
    <w:p w:rsidR="00884A1E" w:rsidRPr="002566F7" w:rsidRDefault="00884A1E" w:rsidP="00884A1E"/>
    <w:p w:rsidR="0009247C" w:rsidRPr="002566F7" w:rsidRDefault="0009247C">
      <w:bookmarkStart w:id="0" w:name="_GoBack"/>
      <w:bookmarkEnd w:id="0"/>
    </w:p>
    <w:sectPr w:rsidR="0009247C" w:rsidRPr="002566F7" w:rsidSect="0072720A">
      <w:footerReference w:type="even" r:id="rId7"/>
      <w:footerReference w:type="default" r:id="rId8"/>
      <w:pgSz w:w="16838" w:h="11906" w:orient="landscape"/>
      <w:pgMar w:top="851" w:right="1103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F90" w:rsidRDefault="00721F90">
      <w:r>
        <w:separator/>
      </w:r>
    </w:p>
  </w:endnote>
  <w:endnote w:type="continuationSeparator" w:id="0">
    <w:p w:rsidR="00721F90" w:rsidRDefault="0072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0D8" w:rsidRDefault="00775E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170D8" w:rsidRDefault="00721F9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0D8" w:rsidRDefault="00775E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1D8A">
      <w:rPr>
        <w:rStyle w:val="Numerstrony"/>
        <w:noProof/>
      </w:rPr>
      <w:t>7</w:t>
    </w:r>
    <w:r>
      <w:rPr>
        <w:rStyle w:val="Numerstrony"/>
      </w:rPr>
      <w:fldChar w:fldCharType="end"/>
    </w:r>
  </w:p>
  <w:p w:rsidR="003170D8" w:rsidRDefault="00721F9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F90" w:rsidRDefault="00721F90">
      <w:r>
        <w:separator/>
      </w:r>
    </w:p>
  </w:footnote>
  <w:footnote w:type="continuationSeparator" w:id="0">
    <w:p w:rsidR="00721F90" w:rsidRDefault="00721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07C7"/>
    <w:multiLevelType w:val="hybridMultilevel"/>
    <w:tmpl w:val="19846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22A2B"/>
    <w:multiLevelType w:val="hybridMultilevel"/>
    <w:tmpl w:val="767E279C"/>
    <w:lvl w:ilvl="0" w:tplc="EDBAB9B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2C4DE7"/>
    <w:multiLevelType w:val="hybridMultilevel"/>
    <w:tmpl w:val="F232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C1B1E"/>
    <w:multiLevelType w:val="hybridMultilevel"/>
    <w:tmpl w:val="4C8855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752A0F"/>
    <w:multiLevelType w:val="hybridMultilevel"/>
    <w:tmpl w:val="5FC20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651361"/>
    <w:multiLevelType w:val="hybridMultilevel"/>
    <w:tmpl w:val="950A2192"/>
    <w:lvl w:ilvl="0" w:tplc="643601CE">
      <w:start w:val="1"/>
      <w:numFmt w:val="decimal"/>
      <w:lvlText w:val="%1."/>
      <w:lvlJc w:val="left"/>
      <w:pPr>
        <w:ind w:left="420" w:hanging="360"/>
      </w:pPr>
      <w:rPr>
        <w:rFonts w:ascii="Calibri" w:hAnsi="Calibri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313213D"/>
    <w:multiLevelType w:val="hybridMultilevel"/>
    <w:tmpl w:val="3EFA6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554D1"/>
    <w:multiLevelType w:val="hybridMultilevel"/>
    <w:tmpl w:val="7BF4CE04"/>
    <w:lvl w:ilvl="0" w:tplc="FF56182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9B3A4C"/>
    <w:multiLevelType w:val="hybridMultilevel"/>
    <w:tmpl w:val="225A1878"/>
    <w:lvl w:ilvl="0" w:tplc="98E284F4">
      <w:start w:val="1"/>
      <w:numFmt w:val="upperLetter"/>
      <w:lvlText w:val="%1.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3D63369"/>
    <w:multiLevelType w:val="multilevel"/>
    <w:tmpl w:val="4A60D03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6F55AC2"/>
    <w:multiLevelType w:val="hybridMultilevel"/>
    <w:tmpl w:val="2BEA1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7828EB"/>
    <w:multiLevelType w:val="hybridMultilevel"/>
    <w:tmpl w:val="E6887808"/>
    <w:lvl w:ilvl="0" w:tplc="4294B0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B1F9A"/>
    <w:multiLevelType w:val="hybridMultilevel"/>
    <w:tmpl w:val="FFE47542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4B5551"/>
    <w:multiLevelType w:val="hybridMultilevel"/>
    <w:tmpl w:val="A7B6951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B">
      <w:start w:val="1"/>
      <w:numFmt w:val="lowerRoman"/>
      <w:lvlText w:val="%2."/>
      <w:lvlJc w:val="righ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E95952"/>
    <w:multiLevelType w:val="hybridMultilevel"/>
    <w:tmpl w:val="38E03C26"/>
    <w:lvl w:ilvl="0" w:tplc="0112675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A829FE"/>
    <w:multiLevelType w:val="hybridMultilevel"/>
    <w:tmpl w:val="0C321970"/>
    <w:lvl w:ilvl="0" w:tplc="3B1AC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4CEA050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A262F8"/>
    <w:multiLevelType w:val="hybridMultilevel"/>
    <w:tmpl w:val="8D6AC888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9260D"/>
    <w:multiLevelType w:val="hybridMultilevel"/>
    <w:tmpl w:val="F972449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EB284E"/>
    <w:multiLevelType w:val="hybridMultilevel"/>
    <w:tmpl w:val="1A1CFC70"/>
    <w:lvl w:ilvl="0" w:tplc="8D8EF630">
      <w:start w:val="2"/>
      <w:numFmt w:val="upperLetter"/>
      <w:lvlText w:val="%1.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7"/>
  </w:num>
  <w:num w:numId="8">
    <w:abstractNumId w:val="8"/>
  </w:num>
  <w:num w:numId="9">
    <w:abstractNumId w:val="16"/>
  </w:num>
  <w:num w:numId="10">
    <w:abstractNumId w:val="15"/>
  </w:num>
  <w:num w:numId="11">
    <w:abstractNumId w:val="5"/>
  </w:num>
  <w:num w:numId="12">
    <w:abstractNumId w:val="6"/>
  </w:num>
  <w:num w:numId="13">
    <w:abstractNumId w:val="13"/>
  </w:num>
  <w:num w:numId="14">
    <w:abstractNumId w:val="2"/>
  </w:num>
  <w:num w:numId="15">
    <w:abstractNumId w:val="0"/>
  </w:num>
  <w:num w:numId="16">
    <w:abstractNumId w:val="1"/>
  </w:num>
  <w:num w:numId="17">
    <w:abstractNumId w:val="11"/>
  </w:num>
  <w:num w:numId="18">
    <w:abstractNumId w:val="3"/>
  </w:num>
  <w:num w:numId="19">
    <w:abstractNumId w:val="7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1A"/>
    <w:rsid w:val="00005CD9"/>
    <w:rsid w:val="0009247C"/>
    <w:rsid w:val="000B151A"/>
    <w:rsid w:val="000E7037"/>
    <w:rsid w:val="00141628"/>
    <w:rsid w:val="002566F7"/>
    <w:rsid w:val="00320E91"/>
    <w:rsid w:val="00493B43"/>
    <w:rsid w:val="004D16BC"/>
    <w:rsid w:val="00520866"/>
    <w:rsid w:val="00575112"/>
    <w:rsid w:val="00601B67"/>
    <w:rsid w:val="0064589E"/>
    <w:rsid w:val="00651118"/>
    <w:rsid w:val="0068431F"/>
    <w:rsid w:val="00721F90"/>
    <w:rsid w:val="00725E15"/>
    <w:rsid w:val="00775E24"/>
    <w:rsid w:val="00827CA0"/>
    <w:rsid w:val="00884A1E"/>
    <w:rsid w:val="00891D8A"/>
    <w:rsid w:val="008E26E0"/>
    <w:rsid w:val="00A62ACC"/>
    <w:rsid w:val="00CD59FB"/>
    <w:rsid w:val="00D87490"/>
    <w:rsid w:val="00E368A7"/>
    <w:rsid w:val="00F64E97"/>
    <w:rsid w:val="00F71435"/>
    <w:rsid w:val="00F75220"/>
    <w:rsid w:val="00F91F08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8EC00-2D87-40A1-BF30-010D9F1F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A1E"/>
    <w:pPr>
      <w:keepNext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884A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84A1E"/>
    <w:pPr>
      <w:keepNext/>
      <w:outlineLvl w:val="2"/>
    </w:pPr>
    <w:rPr>
      <w:b/>
      <w:i/>
      <w:iCs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884A1E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884A1E"/>
    <w:pPr>
      <w:keepNext/>
      <w:ind w:left="-71"/>
      <w:jc w:val="both"/>
      <w:outlineLvl w:val="4"/>
    </w:pPr>
    <w:rPr>
      <w:rFonts w:ascii="Arial" w:eastAsia="Arial" w:hAnsi="Arial" w:cs="Arial"/>
      <w:b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884A1E"/>
    <w:pPr>
      <w:keepNext/>
      <w:outlineLvl w:val="5"/>
    </w:pPr>
    <w:rPr>
      <w:rFonts w:ascii="Arial" w:hAnsi="Arial" w:cs="Arial"/>
      <w:b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84A1E"/>
    <w:pPr>
      <w:keepNext/>
      <w:outlineLvl w:val="6"/>
    </w:pPr>
    <w:rPr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A1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84A1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884A1E"/>
    <w:rPr>
      <w:rFonts w:ascii="Times New Roman" w:eastAsia="Times New Roman" w:hAnsi="Times New Roman" w:cs="Times New Roman"/>
      <w:b/>
      <w:i/>
      <w:iCs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rsid w:val="00884A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84A1E"/>
    <w:rPr>
      <w:rFonts w:ascii="Arial" w:eastAsia="Arial" w:hAnsi="Arial" w:cs="Arial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84A1E"/>
    <w:rPr>
      <w:rFonts w:ascii="Arial" w:eastAsia="Times New Roman" w:hAnsi="Arial" w:cs="Arial"/>
      <w:b/>
      <w:lang w:eastAsia="pl-PL"/>
    </w:rPr>
  </w:style>
  <w:style w:type="character" w:customStyle="1" w:styleId="Nagwek7Znak">
    <w:name w:val="Nagłówek 7 Znak"/>
    <w:basedOn w:val="Domylnaczcionkaakapitu"/>
    <w:link w:val="Nagwek7"/>
    <w:rsid w:val="00884A1E"/>
    <w:rPr>
      <w:rFonts w:ascii="Times New Roman" w:eastAsia="Times New Roman" w:hAnsi="Times New Roman" w:cs="Times New Roman"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84A1E"/>
    <w:pPr>
      <w:overflowPunct w:val="0"/>
      <w:autoSpaceDE w:val="0"/>
      <w:autoSpaceDN w:val="0"/>
      <w:adjustRightInd w:val="0"/>
      <w:ind w:left="4956" w:firstLine="708"/>
      <w:jc w:val="center"/>
      <w:textAlignment w:val="baseline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84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884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84A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84A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84A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84A1E"/>
    <w:pPr>
      <w:spacing w:line="60" w:lineRule="atLeast"/>
      <w:ind w:left="360"/>
    </w:pPr>
    <w:rPr>
      <w:sz w:val="20"/>
      <w:szCs w:val="20"/>
    </w:rPr>
  </w:style>
  <w:style w:type="paragraph" w:styleId="Stopka">
    <w:name w:val="footer"/>
    <w:basedOn w:val="Normalny"/>
    <w:link w:val="StopkaZnak"/>
    <w:semiHidden/>
    <w:rsid w:val="00884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84A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84A1E"/>
  </w:style>
  <w:style w:type="paragraph" w:customStyle="1" w:styleId="BodyText21">
    <w:name w:val="Body Text 21"/>
    <w:basedOn w:val="Normalny"/>
    <w:rsid w:val="00884A1E"/>
    <w:pPr>
      <w:spacing w:line="60" w:lineRule="atLeast"/>
      <w:ind w:left="360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884A1E"/>
    <w:rPr>
      <w:bCs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84A1E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84A1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WW-Tekstpodstawowy3">
    <w:name w:val="WW-Tekst podstawowy 3"/>
    <w:basedOn w:val="Normalny"/>
    <w:rsid w:val="00884A1E"/>
    <w:pPr>
      <w:suppressAutoHyphens/>
      <w:jc w:val="both"/>
    </w:pPr>
    <w:rPr>
      <w:sz w:val="22"/>
      <w:szCs w:val="20"/>
    </w:rPr>
  </w:style>
  <w:style w:type="character" w:customStyle="1" w:styleId="attributenametext">
    <w:name w:val="attribute_name_text"/>
    <w:basedOn w:val="Domylnaczcionkaakapitu"/>
    <w:rsid w:val="00884A1E"/>
  </w:style>
  <w:style w:type="character" w:customStyle="1" w:styleId="jm">
    <w:name w:val="jm"/>
    <w:basedOn w:val="Domylnaczcionkaakapitu"/>
    <w:rsid w:val="00884A1E"/>
  </w:style>
  <w:style w:type="paragraph" w:customStyle="1" w:styleId="TableContents">
    <w:name w:val="Table Contents"/>
    <w:basedOn w:val="Normalny"/>
    <w:rsid w:val="00884A1E"/>
    <w:pPr>
      <w:widowControl w:val="0"/>
      <w:suppressLineNumbers/>
      <w:suppressAutoHyphens/>
    </w:pPr>
    <w:rPr>
      <w:rFonts w:eastAsia="DejaVu Sans"/>
      <w:kern w:val="1"/>
      <w:lang w:eastAsia="hi-IN"/>
    </w:rPr>
  </w:style>
  <w:style w:type="paragraph" w:styleId="Tekstprzypisudolnego">
    <w:name w:val="footnote text"/>
    <w:basedOn w:val="Normalny"/>
    <w:link w:val="TekstprzypisudolnegoZnak"/>
    <w:semiHidden/>
    <w:rsid w:val="00884A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84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84A1E"/>
    <w:rPr>
      <w:vertAlign w:val="superscript"/>
    </w:rPr>
  </w:style>
  <w:style w:type="paragraph" w:customStyle="1" w:styleId="Tabelapozycja">
    <w:name w:val="Tabela pozycja"/>
    <w:basedOn w:val="Normalny"/>
    <w:rsid w:val="00884A1E"/>
    <w:rPr>
      <w:rFonts w:ascii="Arial" w:eastAsia="MS Outlook" w:hAnsi="Arial"/>
      <w:sz w:val="22"/>
      <w:szCs w:val="20"/>
    </w:rPr>
  </w:style>
  <w:style w:type="character" w:styleId="Hipercze">
    <w:name w:val="Hyperlink"/>
    <w:semiHidden/>
    <w:rsid w:val="00884A1E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884A1E"/>
    <w:pPr>
      <w:overflowPunct w:val="0"/>
      <w:autoSpaceDE w:val="0"/>
      <w:autoSpaceDN w:val="0"/>
      <w:adjustRightInd w:val="0"/>
      <w:ind w:left="8080" w:hanging="1708"/>
    </w:pPr>
    <w:rPr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84A1E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84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84A1E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884A1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84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884A1E"/>
    <w:rPr>
      <w:rFonts w:ascii="Calibri" w:eastAsia="Calibri" w:hAnsi="Calibri" w:cs="Consolas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84A1E"/>
    <w:rPr>
      <w:rFonts w:ascii="Calibri" w:eastAsia="Calibri" w:hAnsi="Calibri" w:cs="Consolas"/>
      <w:szCs w:val="21"/>
    </w:rPr>
  </w:style>
  <w:style w:type="paragraph" w:styleId="Bezodstpw">
    <w:name w:val="No Spacing"/>
    <w:uiPriority w:val="1"/>
    <w:qFormat/>
    <w:rsid w:val="0088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1957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Stajkowski</dc:creator>
  <cp:lastModifiedBy>pklusek</cp:lastModifiedBy>
  <cp:revision>17</cp:revision>
  <cp:lastPrinted>2013-10-30T10:10:00Z</cp:lastPrinted>
  <dcterms:created xsi:type="dcterms:W3CDTF">2013-10-30T07:04:00Z</dcterms:created>
  <dcterms:modified xsi:type="dcterms:W3CDTF">2013-10-30T10:12:00Z</dcterms:modified>
</cp:coreProperties>
</file>